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FC" w:rsidRPr="00752C7C" w:rsidRDefault="00F95AFC" w:rsidP="00F8479B">
      <w:pPr>
        <w:ind w:left="-567"/>
        <w:jc w:val="center"/>
        <w:outlineLvl w:val="0"/>
        <w:rPr>
          <w:b/>
        </w:rPr>
      </w:pPr>
      <w:r w:rsidRPr="00752C7C">
        <w:rPr>
          <w:b/>
        </w:rPr>
        <w:t>У</w:t>
      </w:r>
      <w:r w:rsidR="007F03D3">
        <w:rPr>
          <w:b/>
        </w:rPr>
        <w:t xml:space="preserve">тилита </w:t>
      </w:r>
      <w:r w:rsidR="00676361">
        <w:rPr>
          <w:b/>
        </w:rPr>
        <w:t>загрузки протоколов идентификации пациентов</w:t>
      </w:r>
    </w:p>
    <w:p w:rsidR="009947DC" w:rsidRDefault="009947DC" w:rsidP="00F8479B">
      <w:pPr>
        <w:ind w:left="-567"/>
      </w:pPr>
    </w:p>
    <w:p w:rsidR="007F03D3" w:rsidRDefault="007F03D3" w:rsidP="00F8479B">
      <w:pPr>
        <w:ind w:left="-567"/>
      </w:pPr>
    </w:p>
    <w:p w:rsidR="00676361" w:rsidRDefault="00676361" w:rsidP="00F8479B">
      <w:pPr>
        <w:ind w:left="-567"/>
        <w:jc w:val="both"/>
      </w:pPr>
      <w:r>
        <w:t>Утилита предназначена для обновления данных пациентов, полученных в результате идентификации пациентов в РС ЕРЗ</w:t>
      </w:r>
      <w:r w:rsidR="00F8479B">
        <w:t xml:space="preserve"> (Региональный сегмент Единого регистра застрахованных лиц) при выставлении счетов, а так же </w:t>
      </w:r>
      <w:r w:rsidR="00F8479B" w:rsidRPr="00A16DD8">
        <w:t>позволяет загрузить ответ от СМО с информацией о МЭК (что оплачено, а что отказано)</w:t>
      </w:r>
      <w:r w:rsidR="00F8479B">
        <w:t>.</w:t>
      </w:r>
    </w:p>
    <w:p w:rsidR="00F8479B" w:rsidRDefault="00F8479B" w:rsidP="00F8479B">
      <w:pPr>
        <w:ind w:left="-567"/>
        <w:jc w:val="both"/>
      </w:pPr>
    </w:p>
    <w:p w:rsidR="00F8479B" w:rsidRDefault="00F8479B" w:rsidP="00F8479B">
      <w:pPr>
        <w:ind w:left="-567"/>
        <w:jc w:val="both"/>
      </w:pPr>
    </w:p>
    <w:p w:rsidR="00F8479B" w:rsidRDefault="00F8479B" w:rsidP="00F8479B">
      <w:pPr>
        <w:ind w:left="-567"/>
        <w:jc w:val="both"/>
      </w:pPr>
    </w:p>
    <w:p w:rsidR="007F03D3" w:rsidRDefault="00676361" w:rsidP="00F8479B">
      <w:pPr>
        <w:ind w:left="-567"/>
        <w:jc w:val="both"/>
      </w:pPr>
      <w:r>
        <w:t xml:space="preserve">В результате успешного прохождения ФЛК счетом, ТФОМС присылает файл идентификации, </w:t>
      </w:r>
      <w:r w:rsidR="00DB6C19">
        <w:t xml:space="preserve">имя </w:t>
      </w:r>
      <w:r>
        <w:t>котор</w:t>
      </w:r>
      <w:r w:rsidR="00DB6C19">
        <w:t>ого</w:t>
      </w:r>
      <w:r>
        <w:t xml:space="preserve"> имеет вид </w:t>
      </w:r>
      <w:r w:rsidR="00F8479B">
        <w:t>PHM080018S08002_180804</w:t>
      </w:r>
      <w:r>
        <w:t>.</w:t>
      </w:r>
      <w:r w:rsidR="00F8479B">
        <w:t xml:space="preserve">  </w:t>
      </w:r>
      <w:r w:rsidR="00BE246C">
        <w:t>Н</w:t>
      </w:r>
      <w:r w:rsidR="007F03D3">
        <w:t>а рис</w:t>
      </w:r>
      <w:r w:rsidR="00F8479B">
        <w:t>.1</w:t>
      </w:r>
      <w:r w:rsidR="007F03D3">
        <w:t xml:space="preserve"> представлен внешний вид утилиты.</w:t>
      </w:r>
    </w:p>
    <w:p w:rsidR="00F8479B" w:rsidRDefault="00F8479B" w:rsidP="00F8479B">
      <w:pPr>
        <w:ind w:left="-567"/>
        <w:jc w:val="both"/>
      </w:pPr>
    </w:p>
    <w:p w:rsidR="00F8479B" w:rsidRDefault="00F8479B" w:rsidP="00F8479B">
      <w:pPr>
        <w:ind w:left="-567"/>
        <w:jc w:val="both"/>
      </w:pPr>
      <w:r>
        <w:t>рис.1</w:t>
      </w:r>
    </w:p>
    <w:p w:rsidR="007F03D3" w:rsidRDefault="00F8479B" w:rsidP="00F8479B">
      <w:pPr>
        <w:ind w:left="-567"/>
        <w:jc w:val="center"/>
      </w:pPr>
      <w:r>
        <w:rPr>
          <w:noProof/>
        </w:rPr>
        <w:drawing>
          <wp:inline distT="0" distB="0" distL="0" distR="0">
            <wp:extent cx="5888990" cy="25971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D3" w:rsidRDefault="007F03D3" w:rsidP="00F8479B">
      <w:pPr>
        <w:ind w:left="-567"/>
      </w:pPr>
    </w:p>
    <w:p w:rsidR="00F8479B" w:rsidRDefault="00243B61" w:rsidP="00F8479B">
      <w:pPr>
        <w:ind w:left="-567"/>
        <w:jc w:val="both"/>
      </w:pPr>
      <w:r>
        <w:t>В начале использования необходимо настроить подключение к базе данны</w:t>
      </w:r>
      <w:proofErr w:type="gramStart"/>
      <w:r>
        <w:t>х</w:t>
      </w:r>
      <w:r w:rsidR="00F8479B">
        <w:t>(</w:t>
      </w:r>
      <w:proofErr w:type="gramEnd"/>
      <w:r w:rsidR="00F8479B">
        <w:t>рис.2)</w:t>
      </w:r>
      <w:r>
        <w:t xml:space="preserve">. Для этого нужно </w:t>
      </w:r>
    </w:p>
    <w:p w:rsidR="00F8479B" w:rsidRDefault="00243B61" w:rsidP="00F8479B">
      <w:pPr>
        <w:pStyle w:val="a7"/>
        <w:numPr>
          <w:ilvl w:val="0"/>
          <w:numId w:val="12"/>
        </w:numPr>
        <w:jc w:val="both"/>
      </w:pPr>
      <w:r>
        <w:t>выбрать пун</w:t>
      </w:r>
      <w:r w:rsidR="00F8479B">
        <w:t xml:space="preserve">кт меню Настройки-База данных </w:t>
      </w:r>
    </w:p>
    <w:p w:rsidR="00F8479B" w:rsidRDefault="00243B61" w:rsidP="00F8479B">
      <w:pPr>
        <w:pStyle w:val="a7"/>
        <w:numPr>
          <w:ilvl w:val="0"/>
          <w:numId w:val="12"/>
        </w:numPr>
        <w:jc w:val="both"/>
      </w:pPr>
      <w:r>
        <w:t xml:space="preserve">казать данные для подключения к базе </w:t>
      </w:r>
      <w:r w:rsidRPr="00F8479B">
        <w:rPr>
          <w:lang w:val="en-US"/>
        </w:rPr>
        <w:t>s</w:t>
      </w:r>
      <w:r>
        <w:t xml:space="preserve">11. </w:t>
      </w:r>
    </w:p>
    <w:p w:rsidR="00243B61" w:rsidRDefault="00243B61" w:rsidP="00F8479B">
      <w:pPr>
        <w:pStyle w:val="a7"/>
        <w:numPr>
          <w:ilvl w:val="0"/>
          <w:numId w:val="12"/>
        </w:numPr>
        <w:jc w:val="both"/>
      </w:pPr>
      <w:r>
        <w:t>подключиться к базе (Сессия</w:t>
      </w:r>
      <w:r w:rsidR="002F33B0">
        <w:t xml:space="preserve"> </w:t>
      </w:r>
      <w:r>
        <w:t>-</w:t>
      </w:r>
      <w:r w:rsidR="002F33B0">
        <w:t xml:space="preserve"> </w:t>
      </w:r>
      <w:r>
        <w:t>Подключиться к базе данных).</w:t>
      </w:r>
    </w:p>
    <w:p w:rsidR="00676361" w:rsidRDefault="00F8479B" w:rsidP="00F8479B">
      <w:pPr>
        <w:ind w:left="-567"/>
        <w:jc w:val="both"/>
      </w:pPr>
      <w:r>
        <w:t>рис.2</w:t>
      </w:r>
    </w:p>
    <w:p w:rsidR="00243B61" w:rsidRDefault="00F8479B" w:rsidP="00F8479B">
      <w:pPr>
        <w:ind w:left="-567"/>
        <w:jc w:val="both"/>
      </w:pPr>
      <w:r>
        <w:rPr>
          <w:noProof/>
        </w:rPr>
        <w:drawing>
          <wp:inline distT="0" distB="0" distL="0" distR="0">
            <wp:extent cx="5939790" cy="3065145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61" w:rsidRPr="00243B61" w:rsidRDefault="00243B61" w:rsidP="00F8479B">
      <w:pPr>
        <w:ind w:left="-567"/>
        <w:jc w:val="both"/>
      </w:pPr>
    </w:p>
    <w:p w:rsidR="00DB6C19" w:rsidRPr="000017F7" w:rsidRDefault="007F03D3" w:rsidP="00F8479B">
      <w:pPr>
        <w:ind w:left="-567"/>
        <w:jc w:val="both"/>
      </w:pPr>
      <w:r>
        <w:lastRenderedPageBreak/>
        <w:t xml:space="preserve">В </w:t>
      </w:r>
      <w:r w:rsidR="000017F7">
        <w:t>блоке Импорт населения -</w:t>
      </w:r>
      <w:r w:rsidR="000017F7" w:rsidRPr="000017F7">
        <w:t xml:space="preserve"> </w:t>
      </w:r>
      <w:r>
        <w:t xml:space="preserve">поле Имя файла необходимо указать файл из архива </w:t>
      </w:r>
      <w:r w:rsidR="00676361">
        <w:t>идентификации</w:t>
      </w:r>
      <w:r>
        <w:t xml:space="preserve">, который будет </w:t>
      </w:r>
      <w:r w:rsidR="00676361">
        <w:t>загружатьс</w:t>
      </w:r>
      <w:proofErr w:type="gramStart"/>
      <w:r w:rsidR="00676361">
        <w:t>я</w:t>
      </w:r>
      <w:r w:rsidR="00510BD6">
        <w:t>(</w:t>
      </w:r>
      <w:proofErr w:type="gramEnd"/>
      <w:r w:rsidR="00510BD6">
        <w:t>к примеру PHM080018S08002_180804)</w:t>
      </w:r>
      <w:r>
        <w:t>. Предварительно архив с реестром нужно распаковать</w:t>
      </w:r>
      <w:r w:rsidR="00676361">
        <w:t>. Далее требуется нажать кнопку  Импорт.</w:t>
      </w:r>
    </w:p>
    <w:p w:rsidR="00737965" w:rsidRPr="000017F7" w:rsidRDefault="00737965" w:rsidP="00F8479B">
      <w:pPr>
        <w:ind w:left="-567"/>
        <w:jc w:val="both"/>
      </w:pPr>
    </w:p>
    <w:p w:rsidR="00737965" w:rsidRDefault="00737965" w:rsidP="00F8479B">
      <w:pPr>
        <w:ind w:left="-567"/>
        <w:rPr>
          <w:lang w:val="en-US"/>
        </w:rPr>
      </w:pPr>
      <w:r>
        <w:rPr>
          <w:noProof/>
        </w:rPr>
        <w:drawing>
          <wp:inline distT="0" distB="0" distL="0" distR="0">
            <wp:extent cx="5713095" cy="665480"/>
            <wp:effectExtent l="19050" t="0" r="1905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65" w:rsidRDefault="00737965" w:rsidP="00F8479B">
      <w:pPr>
        <w:ind w:left="-567"/>
        <w:rPr>
          <w:lang w:val="en-US"/>
        </w:rPr>
      </w:pPr>
    </w:p>
    <w:p w:rsidR="00737965" w:rsidRDefault="00737965" w:rsidP="00F8479B">
      <w:pPr>
        <w:ind w:left="-567"/>
        <w:rPr>
          <w:lang w:val="en-US"/>
        </w:rPr>
      </w:pPr>
    </w:p>
    <w:p w:rsidR="00DB6C19" w:rsidRDefault="00DB6C19" w:rsidP="00F8479B">
      <w:pPr>
        <w:ind w:left="-567"/>
      </w:pPr>
    </w:p>
    <w:p w:rsidR="00737965" w:rsidRPr="00737965" w:rsidRDefault="00DB6C19" w:rsidP="00737965">
      <w:pPr>
        <w:pStyle w:val="a7"/>
        <w:numPr>
          <w:ilvl w:val="0"/>
          <w:numId w:val="13"/>
        </w:numPr>
        <w:jc w:val="both"/>
      </w:pPr>
      <w:r>
        <w:t xml:space="preserve">Если в результате загрузки меняются данные полиса пациента, то система выдает сообщение </w:t>
      </w:r>
      <w:r w:rsidRPr="00737965">
        <w:rPr>
          <w:b/>
        </w:rPr>
        <w:t>«Обновлены данные полиса пациента ID_PAC=[код пациента]»</w:t>
      </w:r>
      <w:r>
        <w:t xml:space="preserve">. </w:t>
      </w:r>
    </w:p>
    <w:p w:rsidR="00DB6C19" w:rsidRPr="00737965" w:rsidRDefault="00DB6C19" w:rsidP="00737965">
      <w:pPr>
        <w:pStyle w:val="a7"/>
        <w:numPr>
          <w:ilvl w:val="0"/>
          <w:numId w:val="13"/>
        </w:numPr>
        <w:jc w:val="both"/>
      </w:pPr>
      <w:r>
        <w:t xml:space="preserve">Если изменены персональные данные, то система выдает сообщение  </w:t>
      </w:r>
      <w:r w:rsidRPr="00737965">
        <w:rPr>
          <w:b/>
        </w:rPr>
        <w:t>«Обновлены персональные данные пациента ID_PAC=[код пациента]»</w:t>
      </w:r>
      <w:r>
        <w:t>.</w:t>
      </w:r>
    </w:p>
    <w:p w:rsidR="00737965" w:rsidRDefault="00737965" w:rsidP="00737965">
      <w:pPr>
        <w:pStyle w:val="a7"/>
        <w:numPr>
          <w:ilvl w:val="0"/>
          <w:numId w:val="13"/>
        </w:numPr>
        <w:jc w:val="both"/>
      </w:pPr>
      <w:r>
        <w:t xml:space="preserve">Если  система выдает данное сообщение </w:t>
      </w:r>
      <w:r w:rsidRPr="00737965">
        <w:rPr>
          <w:b/>
        </w:rPr>
        <w:t>«В базе не найдена СМО с кодом [SMO]»</w:t>
      </w:r>
      <w:r>
        <w:t>, необходимо обратиться к сотруднику МИАЦ.</w:t>
      </w:r>
    </w:p>
    <w:p w:rsidR="00DB6C19" w:rsidRPr="000017F7" w:rsidRDefault="00DB6C19" w:rsidP="00F8479B">
      <w:pPr>
        <w:ind w:left="-567"/>
        <w:jc w:val="both"/>
      </w:pPr>
      <w:r>
        <w:t>Изменения затрагивают полис, действующий на момент оказания услуги, предъявленной в реестре счета.</w:t>
      </w:r>
      <w:r w:rsidR="00737965" w:rsidRPr="000017F7">
        <w:t xml:space="preserve"> </w:t>
      </w:r>
    </w:p>
    <w:p w:rsidR="00737965" w:rsidRPr="000017F7" w:rsidRDefault="00737965" w:rsidP="00F8479B">
      <w:pPr>
        <w:ind w:left="-567"/>
        <w:jc w:val="both"/>
      </w:pPr>
    </w:p>
    <w:p w:rsidR="007F03D3" w:rsidRDefault="007F03D3" w:rsidP="00F8479B">
      <w:pPr>
        <w:ind w:left="-567"/>
        <w:jc w:val="both"/>
      </w:pPr>
    </w:p>
    <w:p w:rsidR="00DC3786" w:rsidRDefault="00676361" w:rsidP="00F8479B">
      <w:pPr>
        <w:pStyle w:val="a7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4323080" cy="295529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21" w:rsidRDefault="00EA2F21" w:rsidP="00F8479B">
      <w:pPr>
        <w:pStyle w:val="a7"/>
        <w:ind w:left="-567"/>
        <w:jc w:val="both"/>
      </w:pPr>
      <w:bookmarkStart w:id="0" w:name="_GoBack"/>
      <w:bookmarkEnd w:id="0"/>
    </w:p>
    <w:p w:rsidR="00A16DD8" w:rsidRDefault="00A16DD8" w:rsidP="00F8479B">
      <w:pPr>
        <w:pStyle w:val="a7"/>
        <w:ind w:left="-567"/>
        <w:jc w:val="both"/>
      </w:pPr>
    </w:p>
    <w:p w:rsidR="00737965" w:rsidRDefault="00737965" w:rsidP="00737965">
      <w:pPr>
        <w:pStyle w:val="a7"/>
        <w:ind w:left="-567"/>
        <w:jc w:val="center"/>
        <w:rPr>
          <w:b/>
          <w:sz w:val="24"/>
          <w:szCs w:val="24"/>
        </w:rPr>
      </w:pPr>
    </w:p>
    <w:p w:rsidR="00737965" w:rsidRDefault="00737965" w:rsidP="00737965">
      <w:pPr>
        <w:pStyle w:val="a7"/>
        <w:ind w:left="-567"/>
        <w:jc w:val="center"/>
        <w:rPr>
          <w:b/>
          <w:sz w:val="24"/>
          <w:szCs w:val="24"/>
        </w:rPr>
      </w:pPr>
    </w:p>
    <w:p w:rsidR="00737965" w:rsidRDefault="00737965" w:rsidP="00737965">
      <w:pPr>
        <w:pStyle w:val="a7"/>
        <w:ind w:left="-567"/>
        <w:jc w:val="center"/>
        <w:rPr>
          <w:b/>
          <w:sz w:val="24"/>
          <w:szCs w:val="24"/>
        </w:rPr>
      </w:pPr>
    </w:p>
    <w:p w:rsidR="00C710D9" w:rsidRPr="00737965" w:rsidRDefault="00C710D9" w:rsidP="00C710D9">
      <w:pPr>
        <w:pStyle w:val="a7"/>
        <w:ind w:left="-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Подгрузка</w:t>
      </w:r>
      <w:proofErr w:type="spellEnd"/>
      <w:r w:rsidRPr="00737965">
        <w:rPr>
          <w:b/>
          <w:sz w:val="24"/>
          <w:szCs w:val="24"/>
        </w:rPr>
        <w:t xml:space="preserve"> ответа от СМО</w:t>
      </w:r>
      <w:r>
        <w:rPr>
          <w:b/>
          <w:sz w:val="24"/>
          <w:szCs w:val="24"/>
        </w:rPr>
        <w:t xml:space="preserve"> информации</w:t>
      </w:r>
      <w:r w:rsidRPr="00737965">
        <w:rPr>
          <w:b/>
          <w:sz w:val="24"/>
          <w:szCs w:val="24"/>
        </w:rPr>
        <w:t xml:space="preserve"> о МЭК</w:t>
      </w:r>
      <w:r>
        <w:rPr>
          <w:b/>
          <w:sz w:val="24"/>
          <w:szCs w:val="24"/>
        </w:rPr>
        <w:t>.</w:t>
      </w:r>
    </w:p>
    <w:p w:rsidR="00A16DD8" w:rsidRDefault="00A16DD8" w:rsidP="00F8479B">
      <w:pPr>
        <w:pStyle w:val="a7"/>
        <w:ind w:left="-567"/>
        <w:jc w:val="both"/>
      </w:pPr>
    </w:p>
    <w:p w:rsidR="00A16DD8" w:rsidRDefault="00737965" w:rsidP="00F8479B">
      <w:pPr>
        <w:pStyle w:val="a7"/>
        <w:ind w:left="-567"/>
        <w:jc w:val="both"/>
      </w:pPr>
      <w:r>
        <w:t xml:space="preserve">В утилите так же реализована проверка </w:t>
      </w:r>
      <w:r w:rsidR="00A16DD8" w:rsidRPr="00A16DD8">
        <w:t>ответ</w:t>
      </w:r>
      <w:r>
        <w:t>а</w:t>
      </w:r>
      <w:r w:rsidR="00A16DD8" w:rsidRPr="00A16DD8">
        <w:t xml:space="preserve"> от СМО с информацией о МЭК</w:t>
      </w:r>
      <w:r>
        <w:t xml:space="preserve">, позволяющая </w:t>
      </w:r>
      <w:proofErr w:type="gramStart"/>
      <w:r>
        <w:t xml:space="preserve">увидеть </w:t>
      </w:r>
      <w:r w:rsidR="00A16DD8" w:rsidRPr="00A16DD8">
        <w:t xml:space="preserve"> </w:t>
      </w:r>
      <w:r>
        <w:t>какие конкретно оплачены</w:t>
      </w:r>
      <w:proofErr w:type="gramEnd"/>
      <w:r>
        <w:t xml:space="preserve"> случаи, а по каким был получен отказ от СМО</w:t>
      </w:r>
      <w:r w:rsidR="00A16DD8">
        <w:t>.</w:t>
      </w:r>
    </w:p>
    <w:p w:rsidR="00C710D9" w:rsidRDefault="00C710D9" w:rsidP="00F8479B">
      <w:pPr>
        <w:pStyle w:val="a7"/>
        <w:ind w:left="-567"/>
        <w:jc w:val="both"/>
      </w:pPr>
      <w:r>
        <w:t>Файл необходимо получить в СМО КФ ООО ВТБ МС</w:t>
      </w:r>
    </w:p>
    <w:p w:rsidR="000017F7" w:rsidRDefault="000017F7" w:rsidP="00F8479B">
      <w:pPr>
        <w:pStyle w:val="a7"/>
        <w:ind w:left="-567"/>
        <w:jc w:val="both"/>
      </w:pPr>
    </w:p>
    <w:p w:rsidR="000017F7" w:rsidRDefault="000017F7" w:rsidP="000017F7">
      <w:pPr>
        <w:pStyle w:val="a7"/>
        <w:numPr>
          <w:ilvl w:val="0"/>
          <w:numId w:val="14"/>
        </w:numPr>
        <w:jc w:val="both"/>
      </w:pPr>
      <w:r>
        <w:t>В блоке Импорт результатов МЭК -</w:t>
      </w:r>
      <w:r w:rsidRPr="000017F7">
        <w:t xml:space="preserve"> </w:t>
      </w:r>
      <w:r>
        <w:t xml:space="preserve">поле Имя файла необходимо указать файл из архива (к </w:t>
      </w:r>
      <w:proofErr w:type="gramStart"/>
      <w:r>
        <w:t>примеру</w:t>
      </w:r>
      <w:proofErr w:type="gramEnd"/>
      <w:r>
        <w:t xml:space="preserve"> </w:t>
      </w:r>
      <w:r w:rsidRPr="000017F7">
        <w:t>HS08002M080018_180112</w:t>
      </w:r>
      <w:r>
        <w:t>), который вы получаете от ВТБ</w:t>
      </w:r>
      <w:r w:rsidRPr="000017F7">
        <w:t xml:space="preserve"> </w:t>
      </w:r>
      <w:r>
        <w:t>(</w:t>
      </w:r>
      <w:r w:rsidRPr="000017F7">
        <w:rPr>
          <w:b/>
          <w:lang w:val="en-US"/>
        </w:rPr>
        <w:t>NB</w:t>
      </w:r>
      <w:r w:rsidR="002F33B0">
        <w:rPr>
          <w:b/>
        </w:rPr>
        <w:t>!</w:t>
      </w:r>
      <w:r w:rsidRPr="000017F7">
        <w:rPr>
          <w:b/>
        </w:rPr>
        <w:t xml:space="preserve"> </w:t>
      </w:r>
      <w:r>
        <w:t xml:space="preserve">не путать с файлами из архива идентификации, которые приходят от ТФОМС). Предварительно архив нужно распаковать. </w:t>
      </w:r>
    </w:p>
    <w:p w:rsidR="000017F7" w:rsidRPr="000017F7" w:rsidRDefault="000017F7" w:rsidP="000017F7">
      <w:pPr>
        <w:pStyle w:val="a7"/>
        <w:numPr>
          <w:ilvl w:val="0"/>
          <w:numId w:val="14"/>
        </w:numPr>
        <w:jc w:val="both"/>
      </w:pPr>
      <w:r>
        <w:t>Далее требуется нажать кнопку  Импорт.</w:t>
      </w:r>
    </w:p>
    <w:p w:rsidR="000017F7" w:rsidRDefault="000017F7" w:rsidP="000017F7">
      <w:pPr>
        <w:pStyle w:val="a7"/>
        <w:ind w:left="-20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479675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F7" w:rsidRDefault="000017F7" w:rsidP="000017F7">
      <w:pPr>
        <w:pStyle w:val="a7"/>
        <w:ind w:left="-207"/>
        <w:jc w:val="both"/>
      </w:pPr>
    </w:p>
    <w:p w:rsidR="000017F7" w:rsidRDefault="000017F7" w:rsidP="000017F7">
      <w:pPr>
        <w:pStyle w:val="a7"/>
        <w:ind w:left="-207"/>
        <w:jc w:val="both"/>
      </w:pPr>
    </w:p>
    <w:p w:rsidR="000017F7" w:rsidRDefault="000017F7" w:rsidP="000017F7">
      <w:pPr>
        <w:pStyle w:val="a7"/>
        <w:ind w:left="-207"/>
        <w:jc w:val="both"/>
      </w:pPr>
    </w:p>
    <w:p w:rsidR="000017F7" w:rsidRDefault="000017F7" w:rsidP="000017F7">
      <w:pPr>
        <w:pStyle w:val="a7"/>
        <w:numPr>
          <w:ilvl w:val="0"/>
          <w:numId w:val="14"/>
        </w:numPr>
        <w:jc w:val="both"/>
      </w:pPr>
      <w:r>
        <w:t xml:space="preserve">После окончания проверки в информационном окне «Процесс проверки данных», утилита </w:t>
      </w:r>
      <w:proofErr w:type="gramStart"/>
      <w:r>
        <w:t>покажет вам на какую сумму оплачены</w:t>
      </w:r>
      <w:proofErr w:type="gramEnd"/>
      <w:r>
        <w:t xml:space="preserve"> все поданные в СМО случаи, на какую сумму СМО отказала в оплате. </w:t>
      </w:r>
    </w:p>
    <w:p w:rsidR="00F2035B" w:rsidRDefault="00F2035B" w:rsidP="00F8479B">
      <w:pPr>
        <w:pStyle w:val="a7"/>
        <w:ind w:left="-567"/>
        <w:jc w:val="both"/>
      </w:pPr>
    </w:p>
    <w:p w:rsidR="000017F7" w:rsidRDefault="00A74973" w:rsidP="00FC1DF9">
      <w:pPr>
        <w:pStyle w:val="a7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4279265" cy="2867660"/>
            <wp:effectExtent l="19050" t="0" r="6985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F7" w:rsidRDefault="000017F7" w:rsidP="00F8479B">
      <w:pPr>
        <w:pStyle w:val="a7"/>
        <w:ind w:left="-567"/>
        <w:jc w:val="both"/>
      </w:pPr>
    </w:p>
    <w:p w:rsidR="000017F7" w:rsidRDefault="000017F7" w:rsidP="00F8479B">
      <w:pPr>
        <w:pStyle w:val="a7"/>
        <w:ind w:left="-567"/>
        <w:jc w:val="both"/>
      </w:pPr>
    </w:p>
    <w:p w:rsidR="000017F7" w:rsidRDefault="000017F7" w:rsidP="00F8479B">
      <w:pPr>
        <w:pStyle w:val="a7"/>
        <w:ind w:left="-567"/>
        <w:jc w:val="both"/>
      </w:pPr>
    </w:p>
    <w:p w:rsidR="00FC1DF9" w:rsidRDefault="00FC1DF9" w:rsidP="00FC1DF9">
      <w:pPr>
        <w:pStyle w:val="a7"/>
        <w:ind w:left="-567"/>
        <w:jc w:val="both"/>
      </w:pPr>
      <w:r>
        <w:t>Далее необходимо в программе САМСОН:</w:t>
      </w:r>
    </w:p>
    <w:p w:rsidR="00FC1DF9" w:rsidRDefault="00FC1DF9" w:rsidP="00FC1DF9">
      <w:pPr>
        <w:pStyle w:val="a7"/>
        <w:ind w:left="-567"/>
        <w:jc w:val="both"/>
      </w:pPr>
      <w:r>
        <w:t xml:space="preserve">1. перейти Расчет – Счета. </w:t>
      </w:r>
    </w:p>
    <w:p w:rsidR="000017F7" w:rsidRDefault="000017F7" w:rsidP="00F8479B">
      <w:pPr>
        <w:pStyle w:val="a7"/>
        <w:ind w:left="-567"/>
        <w:jc w:val="both"/>
      </w:pPr>
    </w:p>
    <w:p w:rsidR="00FC1DF9" w:rsidRDefault="00FC1DF9" w:rsidP="00FC1DF9">
      <w:pPr>
        <w:pStyle w:val="a7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4959985" cy="14192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F7" w:rsidRDefault="000017F7" w:rsidP="00F8479B">
      <w:pPr>
        <w:pStyle w:val="a7"/>
        <w:ind w:left="-567"/>
        <w:jc w:val="both"/>
      </w:pPr>
    </w:p>
    <w:p w:rsidR="000017F7" w:rsidRDefault="000017F7" w:rsidP="00F8479B">
      <w:pPr>
        <w:pStyle w:val="a7"/>
        <w:ind w:left="-567"/>
        <w:jc w:val="both"/>
      </w:pPr>
    </w:p>
    <w:p w:rsidR="00FC1DF9" w:rsidRDefault="00FC1DF9" w:rsidP="00F8479B">
      <w:pPr>
        <w:pStyle w:val="a7"/>
        <w:ind w:left="-567"/>
        <w:jc w:val="both"/>
      </w:pPr>
    </w:p>
    <w:p w:rsidR="00FC1DF9" w:rsidRDefault="00FC1DF9" w:rsidP="00FC1DF9">
      <w:pPr>
        <w:pStyle w:val="a7"/>
        <w:ind w:left="-567"/>
        <w:jc w:val="both"/>
      </w:pPr>
      <w:r>
        <w:lastRenderedPageBreak/>
        <w:t>2. Выбрать нужный вам Счет</w:t>
      </w:r>
      <w:r w:rsidR="00AE69E1">
        <w:t xml:space="preserve"> из списка</w:t>
      </w:r>
      <w:r>
        <w:t xml:space="preserve">, по которому вы производили проверку.  </w:t>
      </w:r>
      <w:r w:rsidR="00AE69E1">
        <w:t xml:space="preserve">Далее в левой части есть </w:t>
      </w:r>
      <w:r w:rsidR="00AE69E1" w:rsidRPr="00AE69E1">
        <w:rPr>
          <w:b/>
          <w:i/>
        </w:rPr>
        <w:t>блок «Реестр»</w:t>
      </w:r>
      <w:r w:rsidR="00AE69E1">
        <w:t xml:space="preserve"> где необходимо в выпадающем списке выбрать нужный вам пункт («Отказные») </w:t>
      </w:r>
      <w:r>
        <w:t xml:space="preserve">И </w:t>
      </w:r>
      <w:r w:rsidR="00AE69E1">
        <w:t>справа</w:t>
      </w:r>
      <w:r>
        <w:t xml:space="preserve">, во </w:t>
      </w:r>
      <w:r w:rsidRPr="00AE69E1">
        <w:rPr>
          <w:b/>
          <w:i/>
        </w:rPr>
        <w:t>вкладке «Реестр»</w:t>
      </w:r>
      <w:r>
        <w:t>, в крайних правых столбцах «Причины отказа» и «Примечание» будет отображена информация по МЭС.</w:t>
      </w:r>
      <w:r w:rsidR="00AE69E1">
        <w:t xml:space="preserve"> </w:t>
      </w:r>
    </w:p>
    <w:p w:rsidR="000017F7" w:rsidRDefault="000017F7" w:rsidP="00F8479B">
      <w:pPr>
        <w:pStyle w:val="a7"/>
        <w:ind w:left="-567"/>
        <w:jc w:val="both"/>
      </w:pPr>
    </w:p>
    <w:p w:rsidR="000017F7" w:rsidRDefault="00AE69E1" w:rsidP="00F8479B">
      <w:pPr>
        <w:pStyle w:val="a7"/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6389065" cy="359907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663" cy="359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F7" w:rsidRDefault="000017F7" w:rsidP="00F8479B">
      <w:pPr>
        <w:pStyle w:val="a7"/>
        <w:ind w:left="-567"/>
        <w:jc w:val="both"/>
      </w:pPr>
    </w:p>
    <w:p w:rsidR="000017F7" w:rsidRDefault="000017F7" w:rsidP="00F8479B">
      <w:pPr>
        <w:pStyle w:val="a7"/>
        <w:ind w:left="-567"/>
        <w:jc w:val="both"/>
      </w:pPr>
    </w:p>
    <w:p w:rsidR="00737965" w:rsidRDefault="00737965" w:rsidP="00F8479B">
      <w:pPr>
        <w:pStyle w:val="a7"/>
        <w:ind w:left="-567"/>
        <w:jc w:val="both"/>
      </w:pPr>
    </w:p>
    <w:p w:rsidR="00F8479B" w:rsidRDefault="00F8479B" w:rsidP="00F8479B">
      <w:pPr>
        <w:pStyle w:val="a7"/>
        <w:ind w:left="-567"/>
        <w:jc w:val="both"/>
      </w:pPr>
    </w:p>
    <w:sectPr w:rsidR="00F8479B" w:rsidSect="000C166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02474E6"/>
    <w:multiLevelType w:val="hybridMultilevel"/>
    <w:tmpl w:val="450AEE3A"/>
    <w:lvl w:ilvl="0" w:tplc="7EDA16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AE7"/>
    <w:multiLevelType w:val="hybridMultilevel"/>
    <w:tmpl w:val="E962E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54275"/>
    <w:multiLevelType w:val="hybridMultilevel"/>
    <w:tmpl w:val="04D82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43C38"/>
    <w:multiLevelType w:val="hybridMultilevel"/>
    <w:tmpl w:val="FE3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842BA"/>
    <w:multiLevelType w:val="hybridMultilevel"/>
    <w:tmpl w:val="B7F85A3E"/>
    <w:lvl w:ilvl="0" w:tplc="EFBEE4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2175963"/>
    <w:multiLevelType w:val="hybridMultilevel"/>
    <w:tmpl w:val="D5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A14F4"/>
    <w:multiLevelType w:val="hybridMultilevel"/>
    <w:tmpl w:val="24E6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E7EE4"/>
    <w:multiLevelType w:val="hybridMultilevel"/>
    <w:tmpl w:val="65D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84D7B"/>
    <w:multiLevelType w:val="hybridMultilevel"/>
    <w:tmpl w:val="97B8D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F3A5D"/>
    <w:multiLevelType w:val="multilevel"/>
    <w:tmpl w:val="7456688C"/>
    <w:styleLink w:val="a"/>
    <w:lvl w:ilvl="0">
      <w:start w:val="1"/>
      <w:numFmt w:val="russianUpper"/>
      <w:pStyle w:val="a0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1"/>
      <w:suff w:val="space"/>
      <w:lvlText w:val="Таблица %1.%2"/>
      <w:lvlJc w:val="left"/>
      <w:pPr>
        <w:ind w:left="72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2CD6629"/>
    <w:multiLevelType w:val="hybridMultilevel"/>
    <w:tmpl w:val="1FAC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067E"/>
    <w:multiLevelType w:val="hybridMultilevel"/>
    <w:tmpl w:val="05501144"/>
    <w:lvl w:ilvl="0" w:tplc="6AF6CE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8A6825"/>
    <w:rsid w:val="000013B7"/>
    <w:rsid w:val="000017F7"/>
    <w:rsid w:val="00013444"/>
    <w:rsid w:val="00074F8B"/>
    <w:rsid w:val="00075583"/>
    <w:rsid w:val="000941D7"/>
    <w:rsid w:val="000A6D4D"/>
    <w:rsid w:val="000C166D"/>
    <w:rsid w:val="0010368E"/>
    <w:rsid w:val="00107713"/>
    <w:rsid w:val="00136108"/>
    <w:rsid w:val="001A2CD9"/>
    <w:rsid w:val="00221B6C"/>
    <w:rsid w:val="00225ED9"/>
    <w:rsid w:val="00243B61"/>
    <w:rsid w:val="0029143D"/>
    <w:rsid w:val="002A58D4"/>
    <w:rsid w:val="002B7EB1"/>
    <w:rsid w:val="002C1EBB"/>
    <w:rsid w:val="002C4AEF"/>
    <w:rsid w:val="002C751B"/>
    <w:rsid w:val="002F33B0"/>
    <w:rsid w:val="003130FC"/>
    <w:rsid w:val="003D14A5"/>
    <w:rsid w:val="003D6855"/>
    <w:rsid w:val="003D6ECC"/>
    <w:rsid w:val="004477DD"/>
    <w:rsid w:val="00450815"/>
    <w:rsid w:val="004E5CEE"/>
    <w:rsid w:val="00510BD6"/>
    <w:rsid w:val="0051792C"/>
    <w:rsid w:val="00565FE9"/>
    <w:rsid w:val="005A696A"/>
    <w:rsid w:val="005B3C3A"/>
    <w:rsid w:val="0062215A"/>
    <w:rsid w:val="006610D1"/>
    <w:rsid w:val="00661601"/>
    <w:rsid w:val="00676361"/>
    <w:rsid w:val="006873BA"/>
    <w:rsid w:val="006B77E2"/>
    <w:rsid w:val="00733937"/>
    <w:rsid w:val="00737965"/>
    <w:rsid w:val="00750408"/>
    <w:rsid w:val="0077088B"/>
    <w:rsid w:val="00796541"/>
    <w:rsid w:val="007F03D3"/>
    <w:rsid w:val="007F1EAE"/>
    <w:rsid w:val="00801B81"/>
    <w:rsid w:val="008A6825"/>
    <w:rsid w:val="009947DC"/>
    <w:rsid w:val="009C6B51"/>
    <w:rsid w:val="009E1E87"/>
    <w:rsid w:val="00A16DD8"/>
    <w:rsid w:val="00A45546"/>
    <w:rsid w:val="00A74973"/>
    <w:rsid w:val="00AE69E1"/>
    <w:rsid w:val="00B031EC"/>
    <w:rsid w:val="00B13406"/>
    <w:rsid w:val="00B13B7E"/>
    <w:rsid w:val="00B6165E"/>
    <w:rsid w:val="00B74236"/>
    <w:rsid w:val="00BC6CDC"/>
    <w:rsid w:val="00BD6DDA"/>
    <w:rsid w:val="00BE246C"/>
    <w:rsid w:val="00C12461"/>
    <w:rsid w:val="00C46E23"/>
    <w:rsid w:val="00C710D9"/>
    <w:rsid w:val="00CE6464"/>
    <w:rsid w:val="00CF076D"/>
    <w:rsid w:val="00D00F9C"/>
    <w:rsid w:val="00D14C13"/>
    <w:rsid w:val="00D175F7"/>
    <w:rsid w:val="00D70EF1"/>
    <w:rsid w:val="00D74CB4"/>
    <w:rsid w:val="00D947F4"/>
    <w:rsid w:val="00DA40E1"/>
    <w:rsid w:val="00DB6C19"/>
    <w:rsid w:val="00DC1739"/>
    <w:rsid w:val="00DC3786"/>
    <w:rsid w:val="00DF2315"/>
    <w:rsid w:val="00E32C95"/>
    <w:rsid w:val="00E333F0"/>
    <w:rsid w:val="00E41C80"/>
    <w:rsid w:val="00E5410D"/>
    <w:rsid w:val="00E60547"/>
    <w:rsid w:val="00E7309B"/>
    <w:rsid w:val="00EA2F21"/>
    <w:rsid w:val="00EC0241"/>
    <w:rsid w:val="00EE263A"/>
    <w:rsid w:val="00F2035B"/>
    <w:rsid w:val="00F8479B"/>
    <w:rsid w:val="00F95AFC"/>
    <w:rsid w:val="00FC1DF9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6165E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075583"/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34"/>
    <w:qFormat/>
    <w:rsid w:val="00622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a">
    <w:name w:val="a"/>
    <w:rsid w:val="0010368E"/>
    <w:pPr>
      <w:numPr>
        <w:numId w:val="10"/>
      </w:numPr>
    </w:pPr>
  </w:style>
  <w:style w:type="paragraph" w:customStyle="1" w:styleId="a1">
    <w:name w:val="Список таблиц приложения"/>
    <w:basedOn w:val="a2"/>
    <w:next w:val="a2"/>
    <w:qFormat/>
    <w:rsid w:val="0010368E"/>
    <w:pPr>
      <w:keepNext/>
      <w:numPr>
        <w:ilvl w:val="1"/>
        <w:numId w:val="10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qFormat/>
    <w:rsid w:val="0010368E"/>
    <w:pPr>
      <w:numPr>
        <w:numId w:val="10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">
    <w:name w:val="Обычный без отступа1"/>
    <w:basedOn w:val="a2"/>
    <w:qFormat/>
    <w:rsid w:val="0010368E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2"/>
    <w:rsid w:val="0010368E"/>
    <w:pPr>
      <w:numPr>
        <w:numId w:val="11"/>
      </w:numPr>
      <w:spacing w:before="40" w:after="40" w:line="360" w:lineRule="auto"/>
      <w:jc w:val="both"/>
    </w:pPr>
    <w:rPr>
      <w:kern w:val="24"/>
      <w:lang w:eastAsia="en-US"/>
    </w:rPr>
  </w:style>
  <w:style w:type="character" w:styleId="a8">
    <w:name w:val="Strong"/>
    <w:basedOn w:val="a3"/>
    <w:qFormat/>
    <w:rsid w:val="0010368E"/>
    <w:rPr>
      <w:b/>
      <w:bCs/>
    </w:rPr>
  </w:style>
  <w:style w:type="table" w:customStyle="1" w:styleId="10">
    <w:name w:val="Таблица10"/>
    <w:basedOn w:val="a4"/>
    <w:uiPriority w:val="99"/>
    <w:rsid w:val="0010368E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1">
    <w:name w:val="По центру1"/>
    <w:basedOn w:val="1"/>
    <w:qFormat/>
    <w:rsid w:val="0010368E"/>
    <w:pPr>
      <w:jc w:val="center"/>
    </w:pPr>
  </w:style>
  <w:style w:type="paragraph" w:styleId="a9">
    <w:name w:val="Document Map"/>
    <w:basedOn w:val="a2"/>
    <w:link w:val="aa"/>
    <w:rsid w:val="00F8479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3"/>
    <w:link w:val="a9"/>
    <w:rsid w:val="00F8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075583"/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34"/>
    <w:qFormat/>
    <w:rsid w:val="00622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a">
    <w:name w:val="a"/>
    <w:rsid w:val="0010368E"/>
    <w:pPr>
      <w:numPr>
        <w:numId w:val="10"/>
      </w:numPr>
    </w:pPr>
  </w:style>
  <w:style w:type="paragraph" w:customStyle="1" w:styleId="a1">
    <w:name w:val="Список таблиц приложения"/>
    <w:basedOn w:val="a2"/>
    <w:next w:val="a2"/>
    <w:qFormat/>
    <w:rsid w:val="0010368E"/>
    <w:pPr>
      <w:keepNext/>
      <w:numPr>
        <w:ilvl w:val="1"/>
        <w:numId w:val="10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qFormat/>
    <w:rsid w:val="0010368E"/>
    <w:pPr>
      <w:numPr>
        <w:numId w:val="10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">
    <w:name w:val="Обычный без отступа1"/>
    <w:basedOn w:val="a2"/>
    <w:qFormat/>
    <w:rsid w:val="0010368E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2"/>
    <w:rsid w:val="0010368E"/>
    <w:pPr>
      <w:numPr>
        <w:numId w:val="11"/>
      </w:numPr>
      <w:spacing w:before="40" w:after="40" w:line="360" w:lineRule="auto"/>
      <w:jc w:val="both"/>
    </w:pPr>
    <w:rPr>
      <w:kern w:val="24"/>
      <w:lang w:eastAsia="en-US"/>
    </w:rPr>
  </w:style>
  <w:style w:type="character" w:styleId="a8">
    <w:name w:val="Strong"/>
    <w:basedOn w:val="a3"/>
    <w:qFormat/>
    <w:rsid w:val="0010368E"/>
    <w:rPr>
      <w:b/>
      <w:bCs/>
    </w:rPr>
  </w:style>
  <w:style w:type="table" w:customStyle="1" w:styleId="10">
    <w:name w:val="Таблица10"/>
    <w:basedOn w:val="a4"/>
    <w:uiPriority w:val="99"/>
    <w:rsid w:val="0010368E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1">
    <w:name w:val="По центру1"/>
    <w:basedOn w:val="1"/>
    <w:qFormat/>
    <w:rsid w:val="0010368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DA2658534D948A73640557DA1569B" ma:contentTypeVersion="0" ma:contentTypeDescription="Создание документа." ma:contentTypeScope="" ma:versionID="0bc4d8612ec54547a766f4b1056c4f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35648-93D4-4838-AF4C-6A30C2156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B754-EF22-440D-957B-49EB7EE0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87F13-D846-4D0B-820D-8ECFEC8B3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372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Николай Михайлович, в ответ на письмо от 02</vt:lpstr>
    </vt:vector>
  </TitlesOfParts>
  <Company>MoBIL GROUP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Михайлович, в ответ на письмо от 02</dc:title>
  <dc:creator>Игорь Рассолов</dc:creator>
  <cp:lastModifiedBy>Miac</cp:lastModifiedBy>
  <cp:revision>5</cp:revision>
  <cp:lastPrinted>2017-02-13T12:50:00Z</cp:lastPrinted>
  <dcterms:created xsi:type="dcterms:W3CDTF">2018-08-08T09:11:00Z</dcterms:created>
  <dcterms:modified xsi:type="dcterms:W3CDTF">2018-08-09T08:04:00Z</dcterms:modified>
</cp:coreProperties>
</file>